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340CC57C" w:rsidR="009A65EF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6900F671" w14:textId="173CEEE2" w:rsidR="00DC0BA0" w:rsidRDefault="00DC0BA0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65C2">
        <w:rPr>
          <w:rFonts w:ascii="Times New Roman" w:hAnsi="Times New Roman"/>
          <w:color w:val="000000" w:themeColor="text1"/>
          <w:sz w:val="24"/>
          <w:szCs w:val="24"/>
        </w:rPr>
        <w:t>2.1.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965C2">
        <w:rPr>
          <w:rFonts w:ascii="Times New Roman" w:hAnsi="Times New Roman"/>
          <w:color w:val="000000" w:themeColor="text1"/>
          <w:sz w:val="24"/>
          <w:szCs w:val="24"/>
        </w:rPr>
        <w:t>Смета для участия в закупочной процедуре на выполнение строительно-монтажных работ на сумму свыше 2 000 000 руб. без НДС.</w:t>
      </w:r>
    </w:p>
    <w:p w14:paraId="4FB7CFA3" w14:textId="54F2E4A8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D348D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CCFEFB7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7D2327"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E649F"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7D2327"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B73D4"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D2327"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DC0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180D2" w14:textId="77777777" w:rsidR="00C444C4" w:rsidRDefault="00C444C4" w:rsidP="007B5F21">
      <w:pPr>
        <w:spacing w:after="0" w:line="240" w:lineRule="auto"/>
      </w:pPr>
      <w:r>
        <w:separator/>
      </w:r>
    </w:p>
  </w:endnote>
  <w:endnote w:type="continuationSeparator" w:id="0">
    <w:p w14:paraId="2741CC5E" w14:textId="77777777" w:rsidR="00C444C4" w:rsidRDefault="00C444C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22A5B" w14:textId="77777777" w:rsidR="00C444C4" w:rsidRDefault="00C444C4" w:rsidP="007B5F21">
      <w:pPr>
        <w:spacing w:after="0" w:line="240" w:lineRule="auto"/>
      </w:pPr>
      <w:r>
        <w:separator/>
      </w:r>
    </w:p>
  </w:footnote>
  <w:footnote w:type="continuationSeparator" w:id="0">
    <w:p w14:paraId="5F009296" w14:textId="77777777" w:rsidR="00C444C4" w:rsidRDefault="00C444C4" w:rsidP="007B5F21">
      <w:pPr>
        <w:spacing w:after="0" w:line="240" w:lineRule="auto"/>
      </w:pPr>
      <w:r>
        <w:continuationSeparator/>
      </w:r>
    </w:p>
  </w:footnote>
  <w:footnote w:id="1">
    <w:p w14:paraId="0683A8BE" w14:textId="541289F6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395E9581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23CA"/>
    <w:rsid w:val="00113617"/>
    <w:rsid w:val="00150EB5"/>
    <w:rsid w:val="001A26C5"/>
    <w:rsid w:val="001E0502"/>
    <w:rsid w:val="00255656"/>
    <w:rsid w:val="00262095"/>
    <w:rsid w:val="002741A4"/>
    <w:rsid w:val="002B6A77"/>
    <w:rsid w:val="002E3B64"/>
    <w:rsid w:val="00312DCE"/>
    <w:rsid w:val="00344427"/>
    <w:rsid w:val="00345684"/>
    <w:rsid w:val="003A139A"/>
    <w:rsid w:val="003C7273"/>
    <w:rsid w:val="00407575"/>
    <w:rsid w:val="004111FD"/>
    <w:rsid w:val="00413AF1"/>
    <w:rsid w:val="00413D74"/>
    <w:rsid w:val="004B101E"/>
    <w:rsid w:val="004C12A0"/>
    <w:rsid w:val="005076C5"/>
    <w:rsid w:val="005A55CD"/>
    <w:rsid w:val="005D1214"/>
    <w:rsid w:val="005D247F"/>
    <w:rsid w:val="00650596"/>
    <w:rsid w:val="00676051"/>
    <w:rsid w:val="006A1E21"/>
    <w:rsid w:val="006B73D4"/>
    <w:rsid w:val="006D0F81"/>
    <w:rsid w:val="006E649F"/>
    <w:rsid w:val="00713A59"/>
    <w:rsid w:val="007209D4"/>
    <w:rsid w:val="007B5F21"/>
    <w:rsid w:val="007C4BF1"/>
    <w:rsid w:val="007D2327"/>
    <w:rsid w:val="007D5201"/>
    <w:rsid w:val="008415E5"/>
    <w:rsid w:val="00851A18"/>
    <w:rsid w:val="008A4201"/>
    <w:rsid w:val="008A496A"/>
    <w:rsid w:val="00901904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444C4"/>
    <w:rsid w:val="00C64F23"/>
    <w:rsid w:val="00CB428E"/>
    <w:rsid w:val="00CB7ABE"/>
    <w:rsid w:val="00CC33C6"/>
    <w:rsid w:val="00D348D5"/>
    <w:rsid w:val="00D36741"/>
    <w:rsid w:val="00DC0BA0"/>
    <w:rsid w:val="00DE19B1"/>
    <w:rsid w:val="00EE07F2"/>
    <w:rsid w:val="00F23481"/>
    <w:rsid w:val="00F56D22"/>
    <w:rsid w:val="00F73B0A"/>
    <w:rsid w:val="00F75D0B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0D9E-4478-4BF4-85B9-2B8F5F46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Зеленская Людмила Сергеевна</cp:lastModifiedBy>
  <cp:revision>4</cp:revision>
  <dcterms:created xsi:type="dcterms:W3CDTF">2025-04-08T08:32:00Z</dcterms:created>
  <dcterms:modified xsi:type="dcterms:W3CDTF">2026-05-21T10:41:00Z</dcterms:modified>
</cp:coreProperties>
</file>